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1B1F93" w:rsidRDefault="00F92268" w:rsidP="00850792">
      <w:pPr>
        <w:pStyle w:val="BodyText"/>
        <w:rPr>
          <w:sz w:val="6"/>
          <w:szCs w:val="6"/>
        </w:rPr>
      </w:pPr>
      <w:r w:rsidRPr="001B1F9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1B1F9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1B1F93" w:rsidRDefault="00F92268" w:rsidP="002A76A8">
            <w:pPr>
              <w:pStyle w:val="RefTableData"/>
            </w:pPr>
            <w:r w:rsidRPr="001B1F93">
              <w:t>Reference number(s)</w:t>
            </w:r>
          </w:p>
        </w:tc>
      </w:tr>
      <w:tr w:rsidR="00F92268" w:rsidRPr="001B1F9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BD9FDF2" w:rsidR="00F92268" w:rsidRPr="001B1F93" w:rsidRDefault="002A76A8" w:rsidP="002A76A8">
            <w:pPr>
              <w:pStyle w:val="RefTableData"/>
            </w:pPr>
            <w:r w:rsidRPr="001B1F93">
              <w:t>2397-A</w:t>
            </w:r>
          </w:p>
        </w:tc>
      </w:tr>
    </w:tbl>
    <w:p w14:paraId="74FBA5B4" w14:textId="77777777" w:rsidR="00051356" w:rsidRPr="001B1F93" w:rsidRDefault="00051356" w:rsidP="002A76A8">
      <w:pPr>
        <w:pStyle w:val="BodyText"/>
        <w:spacing w:after="0"/>
        <w:rPr>
          <w:b/>
          <w:bCs/>
          <w:sz w:val="2"/>
          <w:szCs w:val="2"/>
        </w:rPr>
        <w:sectPr w:rsidR="00051356" w:rsidRPr="001B1F93" w:rsidSect="002A76A8">
          <w:headerReference w:type="default" r:id="rId12"/>
          <w:footerReference w:type="default" r:id="rId13"/>
          <w:footerReference w:type="first" r:id="rId14"/>
          <w:pgSz w:w="12240" w:h="15840" w:code="1"/>
          <w:pgMar w:top="900" w:right="720" w:bottom="990" w:left="720" w:header="720" w:footer="720" w:gutter="0"/>
          <w:paperSrc w:first="15" w:other="15"/>
          <w:cols w:space="720"/>
          <w:titlePg/>
          <w:docGrid w:linePitch="299"/>
        </w:sectPr>
      </w:pPr>
    </w:p>
    <w:p w14:paraId="6246B947" w14:textId="3741667B" w:rsidR="006426B1" w:rsidRPr="001B1F93" w:rsidRDefault="006426B1" w:rsidP="006426B1">
      <w:pPr>
        <w:pStyle w:val="Heading1"/>
      </w:pPr>
      <w:r w:rsidRPr="001B1F93">
        <w:t>Specialty Guideline Management</w:t>
      </w:r>
      <w:r w:rsidRPr="001B1F93">
        <w:br/>
      </w:r>
      <w:proofErr w:type="spellStart"/>
      <w:r w:rsidRPr="001B1F93">
        <w:t>Calquence</w:t>
      </w:r>
      <w:proofErr w:type="spellEnd"/>
    </w:p>
    <w:p w14:paraId="78861C92" w14:textId="4869EBE0" w:rsidR="00203468" w:rsidRPr="001B1F93" w:rsidRDefault="00C64534" w:rsidP="008E0F0D">
      <w:pPr>
        <w:pStyle w:val="Heading2"/>
      </w:pPr>
      <w:r w:rsidRPr="001B1F93">
        <w:t xml:space="preserve">Products Referenced by this </w:t>
      </w:r>
      <w:r w:rsidR="00501602" w:rsidRPr="001B1F93">
        <w:t>Document</w:t>
      </w:r>
    </w:p>
    <w:p w14:paraId="5455152B" w14:textId="30086726" w:rsidR="008E0F0D" w:rsidRPr="001B1F93" w:rsidRDefault="00D82D85" w:rsidP="008B73E8">
      <w:pPr>
        <w:pStyle w:val="BodyText"/>
      </w:pPr>
      <w:r w:rsidRPr="001B1F93">
        <w:t xml:space="preserve">Drugs that are listed in the </w:t>
      </w:r>
      <w:r w:rsidR="000315F1" w:rsidRPr="001B1F93">
        <w:t>following table</w:t>
      </w:r>
      <w:r w:rsidRPr="001B1F93">
        <w:t xml:space="preserve"> include both brand and generic and all dosage forms and strengths unless otherwise stated. </w:t>
      </w:r>
      <w:r w:rsidR="004A1C62">
        <w:rPr>
          <w:rStyle w:val="ui-provider"/>
        </w:rPr>
        <w:t>Over-the-counter (OTC)</w:t>
      </w:r>
      <w:r w:rsidRPr="001B1F9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1B1F93" w14:paraId="057AAA89" w14:textId="77777777">
        <w:trPr>
          <w:cantSplit/>
          <w:trHeight w:val="288"/>
          <w:tblHeader/>
        </w:trPr>
        <w:tc>
          <w:tcPr>
            <w:tcW w:w="5265" w:type="dxa"/>
            <w:vAlign w:val="center"/>
          </w:tcPr>
          <w:p w14:paraId="6CBFE1BD" w14:textId="77777777" w:rsidR="005B4D7C" w:rsidRPr="001B1F93" w:rsidRDefault="005B4D7C">
            <w:pPr>
              <w:pStyle w:val="TableHeader"/>
            </w:pPr>
            <w:r w:rsidRPr="001B1F93">
              <w:t>Brand Name</w:t>
            </w:r>
          </w:p>
        </w:tc>
        <w:tc>
          <w:tcPr>
            <w:tcW w:w="5595" w:type="dxa"/>
            <w:vAlign w:val="center"/>
          </w:tcPr>
          <w:p w14:paraId="18440B85" w14:textId="77777777" w:rsidR="005B4D7C" w:rsidRPr="001B1F93" w:rsidRDefault="005B4D7C">
            <w:pPr>
              <w:pStyle w:val="TableHeader"/>
            </w:pPr>
            <w:r w:rsidRPr="001B1F93">
              <w:t>Generic Name</w:t>
            </w:r>
          </w:p>
        </w:tc>
      </w:tr>
      <w:tr w:rsidR="005B4D7C" w:rsidRPr="001B1F93" w14:paraId="7742B1EC" w14:textId="77777777">
        <w:trPr>
          <w:cantSplit/>
        </w:trPr>
        <w:tc>
          <w:tcPr>
            <w:tcW w:w="5265" w:type="dxa"/>
          </w:tcPr>
          <w:p w14:paraId="4DED0C9B" w14:textId="255D25BB" w:rsidR="005B4D7C" w:rsidRPr="001B1F93" w:rsidRDefault="004C7534">
            <w:pPr>
              <w:pStyle w:val="TableDataUnpadded"/>
            </w:pPr>
            <w:r w:rsidRPr="001B1F93">
              <w:t>Calquence</w:t>
            </w:r>
          </w:p>
        </w:tc>
        <w:tc>
          <w:tcPr>
            <w:tcW w:w="5595" w:type="dxa"/>
          </w:tcPr>
          <w:p w14:paraId="1A09710D" w14:textId="5ABFDC11" w:rsidR="005B4D7C" w:rsidRPr="001B1F93" w:rsidRDefault="004C7534">
            <w:pPr>
              <w:pStyle w:val="TableDataUnpadded"/>
            </w:pPr>
            <w:r w:rsidRPr="001B1F93">
              <w:t>acalabrutinib</w:t>
            </w:r>
          </w:p>
        </w:tc>
      </w:tr>
    </w:tbl>
    <w:p w14:paraId="14CE6108" w14:textId="2CD6161A" w:rsidR="00FC1AAD" w:rsidRPr="001B1F93" w:rsidRDefault="00ED052F" w:rsidP="00AA2A94">
      <w:pPr>
        <w:pStyle w:val="Heading2"/>
        <w:tabs>
          <w:tab w:val="left" w:pos="9540"/>
        </w:tabs>
      </w:pPr>
      <w:r w:rsidRPr="001B1F93">
        <w:t>Indications</w:t>
      </w:r>
    </w:p>
    <w:p w14:paraId="4194CCB8" w14:textId="77777777" w:rsidR="004C7534" w:rsidRPr="001B1F93" w:rsidRDefault="004C7534" w:rsidP="004C7534">
      <w:pPr>
        <w:pStyle w:val="BodyText"/>
      </w:pPr>
      <w:r w:rsidRPr="001B1F93">
        <w:t>The indications below including FDA-approved indications and compendial uses are considered a covered benefit provided that all the approval criteria are met and the member has no exclusions to the prescribed therapy.</w:t>
      </w:r>
    </w:p>
    <w:p w14:paraId="134B5687" w14:textId="58394596" w:rsidR="00ED052F" w:rsidRPr="001B1F93" w:rsidRDefault="00ED052F" w:rsidP="00ED052F">
      <w:pPr>
        <w:pStyle w:val="Heading3"/>
        <w:keepNext w:val="0"/>
      </w:pPr>
      <w:r w:rsidRPr="001B1F93">
        <w:t>FDA-approved Indications</w:t>
      </w:r>
    </w:p>
    <w:p w14:paraId="547C183F" w14:textId="77777777" w:rsidR="004C7534" w:rsidRPr="001B1F93" w:rsidRDefault="004C7534" w:rsidP="004C7534">
      <w:pPr>
        <w:pStyle w:val="Heading4"/>
      </w:pPr>
      <w:r w:rsidRPr="001B1F93">
        <w:t>Mantle Cell Lymphoma</w:t>
      </w:r>
    </w:p>
    <w:p w14:paraId="37BAFE75" w14:textId="77777777" w:rsidR="004C7534" w:rsidRDefault="004C7534" w:rsidP="00F73C5D">
      <w:pPr>
        <w:pStyle w:val="BodyText"/>
        <w:numPr>
          <w:ilvl w:val="0"/>
          <w:numId w:val="36"/>
        </w:numPr>
      </w:pPr>
      <w:r w:rsidRPr="001B1F93">
        <w:t>Calquence is indicated for the treatment of adult patients with mantle cell lymphoma (MCL) who have received at least one prior therapy.</w:t>
      </w:r>
    </w:p>
    <w:p w14:paraId="5B0795DE" w14:textId="0AA4BDDA" w:rsidR="00F73C5D" w:rsidRPr="001B1F93" w:rsidRDefault="00F73C5D" w:rsidP="00C513E1">
      <w:pPr>
        <w:pStyle w:val="BodyText"/>
        <w:numPr>
          <w:ilvl w:val="0"/>
          <w:numId w:val="36"/>
        </w:numPr>
      </w:pPr>
      <w:proofErr w:type="spellStart"/>
      <w:r>
        <w:t>Calquence</w:t>
      </w:r>
      <w:proofErr w:type="spellEnd"/>
      <w:r>
        <w:t xml:space="preserve"> in combination with </w:t>
      </w:r>
      <w:proofErr w:type="spellStart"/>
      <w:r>
        <w:t>bendamustine</w:t>
      </w:r>
      <w:proofErr w:type="spellEnd"/>
      <w:r>
        <w:t xml:space="preserve"> and rituximab is indicated for the treatment of adult patients with previously untreated mantle cell lymphoma (MCL) who are ineligible for autologous hematopoietic stem cell transplant (HSCT).</w:t>
      </w:r>
    </w:p>
    <w:p w14:paraId="1BC0929E" w14:textId="77777777" w:rsidR="004C7534" w:rsidRPr="001B1F93" w:rsidRDefault="004C7534" w:rsidP="004C7534">
      <w:pPr>
        <w:pStyle w:val="Heading4"/>
      </w:pPr>
      <w:r w:rsidRPr="001B1F93">
        <w:t>Chronic Lymphocytic Leukemia or Small Lymphocytic Lymphoma</w:t>
      </w:r>
    </w:p>
    <w:p w14:paraId="45C56F25" w14:textId="77777777" w:rsidR="004C7534" w:rsidRPr="001B1F93" w:rsidRDefault="004C7534" w:rsidP="004C7534">
      <w:pPr>
        <w:pStyle w:val="BodyText"/>
      </w:pPr>
      <w:r w:rsidRPr="001B1F93">
        <w:t>Calquence is indicated for the treatment of adult patients with chronic lymphocytic leukemia (CLL) or small lymphocytic lymphoma (SLL).</w:t>
      </w:r>
    </w:p>
    <w:p w14:paraId="7825F47D" w14:textId="10864656" w:rsidR="004C7534" w:rsidRPr="001B1F93" w:rsidRDefault="004C7534" w:rsidP="004C7534">
      <w:pPr>
        <w:pStyle w:val="Heading3"/>
      </w:pPr>
      <w:r w:rsidRPr="001B1F93">
        <w:t>Compendial Uses</w:t>
      </w:r>
    </w:p>
    <w:p w14:paraId="63214E14" w14:textId="77777777" w:rsidR="004C7534" w:rsidRPr="001B1F93" w:rsidRDefault="004C7534" w:rsidP="004C7534">
      <w:pPr>
        <w:pStyle w:val="ListParagraph"/>
        <w:numPr>
          <w:ilvl w:val="0"/>
          <w:numId w:val="31"/>
        </w:numPr>
      </w:pPr>
      <w:r w:rsidRPr="001B1F93">
        <w:t>Waldenström Macroglobulinemia/Lymphoplasmacytic Lymphoma</w:t>
      </w:r>
    </w:p>
    <w:p w14:paraId="0FBD3A0C" w14:textId="77777777" w:rsidR="004C7534" w:rsidRPr="001B1F93" w:rsidRDefault="004C7534" w:rsidP="004C7534">
      <w:pPr>
        <w:pStyle w:val="ListParagraph"/>
        <w:numPr>
          <w:ilvl w:val="0"/>
          <w:numId w:val="31"/>
        </w:numPr>
      </w:pPr>
      <w:r w:rsidRPr="001B1F93">
        <w:lastRenderedPageBreak/>
        <w:t>Gastric MALT Lymphoma (</w:t>
      </w:r>
      <w:proofErr w:type="spellStart"/>
      <w:r w:rsidRPr="001B1F93">
        <w:t>Extranodal</w:t>
      </w:r>
      <w:proofErr w:type="spellEnd"/>
      <w:r w:rsidRPr="001B1F93">
        <w:t xml:space="preserve"> Marginal Zone Lymphoma of the Stomach)/Non-gastric MALT Lymphoma (</w:t>
      </w:r>
      <w:proofErr w:type="spellStart"/>
      <w:r w:rsidRPr="001B1F93">
        <w:t>Extranodal</w:t>
      </w:r>
      <w:proofErr w:type="spellEnd"/>
      <w:r w:rsidRPr="001B1F93">
        <w:t xml:space="preserve"> Marginal Zone Lymphoma of </w:t>
      </w:r>
      <w:proofErr w:type="spellStart"/>
      <w:r w:rsidRPr="001B1F93">
        <w:t>Nongastric</w:t>
      </w:r>
      <w:proofErr w:type="spellEnd"/>
      <w:r w:rsidRPr="001B1F93">
        <w:t xml:space="preserve"> Sites)</w:t>
      </w:r>
    </w:p>
    <w:p w14:paraId="69689D99" w14:textId="77777777" w:rsidR="004C7534" w:rsidRPr="001B1F93" w:rsidRDefault="004C7534" w:rsidP="004C7534">
      <w:pPr>
        <w:pStyle w:val="ListParagraph"/>
        <w:numPr>
          <w:ilvl w:val="0"/>
          <w:numId w:val="31"/>
        </w:numPr>
      </w:pPr>
      <w:r w:rsidRPr="001B1F93">
        <w:t>Nodal Marginal Zone Lymphoma</w:t>
      </w:r>
    </w:p>
    <w:p w14:paraId="6D72DC1B" w14:textId="77777777" w:rsidR="004C7534" w:rsidRPr="001B1F93" w:rsidRDefault="004C7534" w:rsidP="004C7534">
      <w:pPr>
        <w:pStyle w:val="ListParagraph"/>
        <w:numPr>
          <w:ilvl w:val="0"/>
          <w:numId w:val="31"/>
        </w:numPr>
      </w:pPr>
      <w:r w:rsidRPr="001B1F93">
        <w:t>Splenic Marginal Zone Lymphoma</w:t>
      </w:r>
    </w:p>
    <w:p w14:paraId="6A72FCBB" w14:textId="77777777" w:rsidR="004C7534" w:rsidRPr="001B1F93" w:rsidRDefault="004C7534" w:rsidP="004C7534">
      <w:pPr>
        <w:pStyle w:val="ListParagraph"/>
        <w:numPr>
          <w:ilvl w:val="0"/>
          <w:numId w:val="31"/>
        </w:numPr>
      </w:pPr>
      <w:r w:rsidRPr="001B1F93">
        <w:t>CLL/SLL</w:t>
      </w:r>
    </w:p>
    <w:p w14:paraId="585674C3" w14:textId="77777777" w:rsidR="004C7534" w:rsidRPr="001B1F93" w:rsidRDefault="004C7534" w:rsidP="004C7534">
      <w:pPr>
        <w:pStyle w:val="ListParagraph"/>
        <w:numPr>
          <w:ilvl w:val="0"/>
          <w:numId w:val="31"/>
        </w:numPr>
      </w:pPr>
      <w:r w:rsidRPr="001B1F93">
        <w:t>Mantle Cell Lymphoma</w:t>
      </w:r>
    </w:p>
    <w:p w14:paraId="71A27B28" w14:textId="77777777" w:rsidR="004C7534" w:rsidRPr="001B1F93" w:rsidRDefault="004C7534" w:rsidP="004C7534">
      <w:pPr>
        <w:pStyle w:val="BodyText"/>
      </w:pPr>
      <w:r w:rsidRPr="001B1F93">
        <w:t>All other indications are considered experimental/investigational and not medically necessary.</w:t>
      </w:r>
    </w:p>
    <w:p w14:paraId="50A38FBA" w14:textId="7BCDC6C6" w:rsidR="00FE0C63" w:rsidRPr="001B1F93" w:rsidRDefault="00685107" w:rsidP="004C7534">
      <w:pPr>
        <w:pStyle w:val="Heading2"/>
      </w:pPr>
      <w:r w:rsidRPr="001B1F93">
        <w:t>Coverage Criteria</w:t>
      </w:r>
    </w:p>
    <w:p w14:paraId="6611ECF0" w14:textId="506907E3" w:rsidR="004C7534" w:rsidRPr="001B1F93" w:rsidRDefault="004C7534" w:rsidP="004C7534">
      <w:pPr>
        <w:pStyle w:val="Heading3"/>
      </w:pPr>
      <w:r w:rsidRPr="001B1F93">
        <w:t xml:space="preserve">Mantle </w:t>
      </w:r>
      <w:r w:rsidR="0077048E">
        <w:t>C</w:t>
      </w:r>
      <w:r w:rsidRPr="001B1F93">
        <w:t xml:space="preserve">ell </w:t>
      </w:r>
      <w:r w:rsidR="001B1F93">
        <w:t>L</w:t>
      </w:r>
      <w:r w:rsidRPr="001B1F93">
        <w:t>ymphoma</w:t>
      </w:r>
    </w:p>
    <w:p w14:paraId="58BBAA53" w14:textId="77777777" w:rsidR="004C7534" w:rsidRPr="001B1F93" w:rsidRDefault="004C7534" w:rsidP="004C7534">
      <w:pPr>
        <w:pStyle w:val="BodyText"/>
      </w:pPr>
      <w:r w:rsidRPr="001B1F93">
        <w:t>Authorization of 12 months may be granted for treatment of mantle cell lymphoma when any of the following criteria are met:</w:t>
      </w:r>
    </w:p>
    <w:p w14:paraId="328204A6" w14:textId="7D2D1A2B" w:rsidR="004C7534" w:rsidRPr="001B1F93" w:rsidRDefault="004C7534" w:rsidP="004C7534">
      <w:pPr>
        <w:pStyle w:val="ListParagraph"/>
        <w:numPr>
          <w:ilvl w:val="0"/>
          <w:numId w:val="34"/>
        </w:numPr>
      </w:pPr>
      <w:r w:rsidRPr="001B1F93">
        <w:t>The requested medication will be used as a single agent for subsequent therapy.</w:t>
      </w:r>
    </w:p>
    <w:p w14:paraId="40F92D9F" w14:textId="77777777" w:rsidR="004C7534" w:rsidRPr="001B1F93" w:rsidRDefault="004C7534" w:rsidP="004C7534">
      <w:pPr>
        <w:pStyle w:val="ListParagraph"/>
        <w:numPr>
          <w:ilvl w:val="0"/>
          <w:numId w:val="34"/>
        </w:numPr>
      </w:pPr>
      <w:r w:rsidRPr="001B1F93">
        <w:t>The requested medication will be used in combination with rituximab for induction therapy.</w:t>
      </w:r>
    </w:p>
    <w:p w14:paraId="3257F405" w14:textId="77777777" w:rsidR="004C7534" w:rsidRDefault="004C7534" w:rsidP="004C7534">
      <w:pPr>
        <w:pStyle w:val="ListParagraph"/>
        <w:numPr>
          <w:ilvl w:val="0"/>
          <w:numId w:val="34"/>
        </w:numPr>
      </w:pPr>
      <w:r w:rsidRPr="001B1F93">
        <w:t xml:space="preserve">The requested medication will be used in combination with rituximab as pre-treatment to limit the number of cycles of induction therapy with </w:t>
      </w:r>
      <w:proofErr w:type="spellStart"/>
      <w:r w:rsidRPr="001B1F93">
        <w:t>RHyperCVAD</w:t>
      </w:r>
      <w:proofErr w:type="spellEnd"/>
      <w:r w:rsidRPr="001B1F93">
        <w:t xml:space="preserve"> (rituximab, cyclophosphamide, vincristine, </w:t>
      </w:r>
      <w:proofErr w:type="gramStart"/>
      <w:r w:rsidRPr="001B1F93">
        <w:t>doxorubicin</w:t>
      </w:r>
      <w:proofErr w:type="gramEnd"/>
      <w:r w:rsidRPr="001B1F93">
        <w:t xml:space="preserve"> and dexamethasone) regimen.</w:t>
      </w:r>
    </w:p>
    <w:p w14:paraId="65F89390" w14:textId="1F60CFCF" w:rsidR="00F73C5D" w:rsidRPr="001B1F93" w:rsidRDefault="00F73C5D" w:rsidP="004C7534">
      <w:pPr>
        <w:pStyle w:val="ListParagraph"/>
        <w:numPr>
          <w:ilvl w:val="0"/>
          <w:numId w:val="34"/>
        </w:numPr>
      </w:pPr>
      <w:r>
        <w:t xml:space="preserve">The requested medication will be used in combination with </w:t>
      </w:r>
      <w:proofErr w:type="spellStart"/>
      <w:r>
        <w:t>bendamustine</w:t>
      </w:r>
      <w:proofErr w:type="spellEnd"/>
      <w:r>
        <w:t xml:space="preserve"> and rituximab for previously untreated disease and the member is ineligible for transplant.</w:t>
      </w:r>
    </w:p>
    <w:p w14:paraId="7480D8E7" w14:textId="11C924D2" w:rsidR="004C7534" w:rsidRPr="001B1F93" w:rsidRDefault="004C7534" w:rsidP="004C7534">
      <w:pPr>
        <w:pStyle w:val="Heading3"/>
      </w:pPr>
      <w:r w:rsidRPr="001B1F93">
        <w:t>Chronic Lymphocytic Leukemia (CLL)/Small Lymphocytic Lymphoma (SLL)</w:t>
      </w:r>
    </w:p>
    <w:p w14:paraId="0E0DFA66" w14:textId="77777777" w:rsidR="004C7534" w:rsidRPr="001B1F93" w:rsidRDefault="004C7534" w:rsidP="004C7534">
      <w:pPr>
        <w:pStyle w:val="BodyText"/>
      </w:pPr>
      <w:r w:rsidRPr="001B1F93">
        <w:t>Authorization of 12 months may be granted for treatment of CLL/SLL as a single agent or in combination with obinutuzumab.</w:t>
      </w:r>
    </w:p>
    <w:p w14:paraId="7F97A289" w14:textId="6C963D71" w:rsidR="004C7534" w:rsidRPr="001B1F93" w:rsidRDefault="004C7534" w:rsidP="004C7534">
      <w:pPr>
        <w:pStyle w:val="Heading3"/>
      </w:pPr>
      <w:proofErr w:type="spellStart"/>
      <w:r w:rsidRPr="001B1F93">
        <w:t>Waldenström</w:t>
      </w:r>
      <w:proofErr w:type="spellEnd"/>
      <w:r w:rsidRPr="001B1F93">
        <w:t xml:space="preserve"> Macroglobulinemia/Lymphoplasmacytic Lymphoma</w:t>
      </w:r>
    </w:p>
    <w:p w14:paraId="77436112" w14:textId="77777777" w:rsidR="004C7534" w:rsidRDefault="004C7534" w:rsidP="004C7534">
      <w:pPr>
        <w:pStyle w:val="BodyText"/>
      </w:pPr>
      <w:r w:rsidRPr="001B1F93">
        <w:t>Authorization of 12 months may be granted for subsequent treatment of Waldenström Macroglobulinemia /Lymphoplasmacytic Lymphoma as a single agent.</w:t>
      </w:r>
    </w:p>
    <w:p w14:paraId="038E37A4" w14:textId="2F3EC404" w:rsidR="004C7534" w:rsidRPr="001B1F93" w:rsidRDefault="004C7534" w:rsidP="004C7534">
      <w:pPr>
        <w:pStyle w:val="Heading3"/>
      </w:pPr>
      <w:r w:rsidRPr="001B1F93">
        <w:lastRenderedPageBreak/>
        <w:t>Gastric MALT Lymphoma (</w:t>
      </w:r>
      <w:proofErr w:type="spellStart"/>
      <w:r w:rsidRPr="001B1F93">
        <w:t>Extranodal</w:t>
      </w:r>
      <w:proofErr w:type="spellEnd"/>
      <w:r w:rsidRPr="001B1F93">
        <w:t xml:space="preserve"> Marginal Zone Lymphoma of the Stomach)/Non-gastric MALT Lymphoma (</w:t>
      </w:r>
      <w:proofErr w:type="spellStart"/>
      <w:r w:rsidRPr="001B1F93">
        <w:t>Extranodal</w:t>
      </w:r>
      <w:proofErr w:type="spellEnd"/>
      <w:r w:rsidRPr="001B1F93">
        <w:t xml:space="preserve"> Marginal Zone Lymphoma of </w:t>
      </w:r>
      <w:proofErr w:type="spellStart"/>
      <w:r w:rsidRPr="001B1F93">
        <w:t>Nongastric</w:t>
      </w:r>
      <w:proofErr w:type="spellEnd"/>
      <w:r w:rsidRPr="001B1F93">
        <w:t xml:space="preserve"> Sites)/Nodal Marginal Zone Lymphoma/Splenic Marginal Zone Lymphoma</w:t>
      </w:r>
    </w:p>
    <w:p w14:paraId="03A802EC" w14:textId="77777777" w:rsidR="002A76A8" w:rsidRDefault="004C7534" w:rsidP="004C7534">
      <w:pPr>
        <w:pStyle w:val="BodyText"/>
      </w:pPr>
      <w:r w:rsidRPr="001B1F93">
        <w:t>Authorization of 12 months may be granted for treatment of gastric MALT lymphoma (</w:t>
      </w:r>
      <w:proofErr w:type="spellStart"/>
      <w:r w:rsidRPr="001B1F93">
        <w:t>extranodal</w:t>
      </w:r>
      <w:proofErr w:type="spellEnd"/>
      <w:r w:rsidRPr="001B1F93">
        <w:t xml:space="preserve"> marginal zone lymphoma of the stomach), non-gastric MALT lymphoma (</w:t>
      </w:r>
      <w:proofErr w:type="spellStart"/>
      <w:r w:rsidRPr="001B1F93">
        <w:t>extranodal</w:t>
      </w:r>
      <w:proofErr w:type="spellEnd"/>
      <w:r w:rsidRPr="001B1F93">
        <w:t xml:space="preserve"> marginal zone lymphoma of </w:t>
      </w:r>
      <w:proofErr w:type="spellStart"/>
      <w:r w:rsidRPr="001B1F93">
        <w:t>nongastric</w:t>
      </w:r>
      <w:proofErr w:type="spellEnd"/>
      <w:r w:rsidRPr="001B1F93">
        <w:t xml:space="preserve"> sites), nodal marginal zone lymphoma and splenic marginal zone lymphoma when used as subsequent therapy.</w:t>
      </w:r>
    </w:p>
    <w:p w14:paraId="3A643EC3" w14:textId="1492B805" w:rsidR="00A501AC" w:rsidRPr="001B1F93" w:rsidRDefault="00A501AC" w:rsidP="00A501AC">
      <w:pPr>
        <w:pStyle w:val="Heading2"/>
      </w:pPr>
      <w:r w:rsidRPr="001B1F93">
        <w:t>Continuation of Therapy</w:t>
      </w:r>
    </w:p>
    <w:p w14:paraId="6B6B9490" w14:textId="77777777" w:rsidR="004C7534" w:rsidRPr="001B1F93" w:rsidRDefault="004C7534" w:rsidP="004C7534">
      <w:pPr>
        <w:pStyle w:val="BodyText"/>
      </w:pPr>
      <w:r w:rsidRPr="001B1F93">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24EDF755" w:rsidR="00FF66BF" w:rsidRPr="001B1F93" w:rsidRDefault="00FF66BF" w:rsidP="00FF66BF">
      <w:pPr>
        <w:pStyle w:val="Heading2"/>
      </w:pPr>
      <w:r w:rsidRPr="001B1F93">
        <w:t>References</w:t>
      </w:r>
    </w:p>
    <w:p w14:paraId="288BA9CA" w14:textId="0A9B6574" w:rsidR="004C7534" w:rsidRPr="001B1F93" w:rsidRDefault="004C7534" w:rsidP="004C7534">
      <w:pPr>
        <w:pStyle w:val="ReferenceOrdered"/>
      </w:pPr>
      <w:r w:rsidRPr="001B1F93">
        <w:t xml:space="preserve">Calquence [package insert]. Wilmington, DE: AstraZeneca Pharmaceuticals LP; </w:t>
      </w:r>
      <w:r w:rsidR="00F73C5D">
        <w:t>January</w:t>
      </w:r>
      <w:r w:rsidRPr="001B1F93">
        <w:t xml:space="preserve"> 202</w:t>
      </w:r>
      <w:r w:rsidR="00F73C5D">
        <w:t>5</w:t>
      </w:r>
      <w:r w:rsidRPr="001B1F93">
        <w:t>.</w:t>
      </w:r>
    </w:p>
    <w:p w14:paraId="10FD82CD" w14:textId="77777777" w:rsidR="004C7534" w:rsidRPr="001B1F93" w:rsidRDefault="004C7534" w:rsidP="004C7534">
      <w:pPr>
        <w:pStyle w:val="ReferenceOrdered"/>
      </w:pPr>
      <w:r w:rsidRPr="001B1F93">
        <w:t>The NCCN Drugs &amp; Biologics Compendium</w:t>
      </w:r>
      <w:r w:rsidRPr="001B1F93">
        <w:rPr>
          <w:vertAlign w:val="superscript"/>
        </w:rPr>
        <w:t>®</w:t>
      </w:r>
      <w:r w:rsidRPr="001B1F93">
        <w:t xml:space="preserve"> © 2024 National Comprehensive Cancer Network, Inc. http://www.nccn.org. Accessed May 29, 2024.</w:t>
      </w:r>
    </w:p>
    <w:p w14:paraId="688FB2D5" w14:textId="77777777" w:rsidR="004C7534" w:rsidRPr="001B1F93" w:rsidRDefault="004C7534" w:rsidP="004C7534">
      <w:pPr>
        <w:pStyle w:val="ReferenceOrdered"/>
        <w:rPr>
          <w:shd w:val="pct15" w:color="auto" w:fill="FFFFFF"/>
        </w:rPr>
      </w:pPr>
      <w:r w:rsidRPr="001B1F93">
        <w:t>NCCN Clinical Practice Guidelines in Oncology (NCCN Guidelines): B-Cell Lymphomas. Version 2.2024. Accessed May 29, 2024. https://www.nccn.org/professionals/physician_gls/pdf/b-cell.pdf.</w:t>
      </w:r>
    </w:p>
    <w:sectPr w:rsidR="004C7534" w:rsidRPr="001B1F93" w:rsidSect="002A76A8">
      <w:headerReference w:type="first" r:id="rId15"/>
      <w:footerReference w:type="first" r:id="rId16"/>
      <w:type w:val="continuous"/>
      <w:pgSz w:w="12240" w:h="15840" w:code="1"/>
      <w:pgMar w:top="900" w:right="720" w:bottom="990" w:left="720" w:header="720" w:footer="720"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C7073" w14:textId="77777777" w:rsidR="007017BE" w:rsidRDefault="007017BE">
      <w:r>
        <w:separator/>
      </w:r>
    </w:p>
  </w:endnote>
  <w:endnote w:type="continuationSeparator" w:id="0">
    <w:p w14:paraId="34D0314B" w14:textId="77777777" w:rsidR="007017BE" w:rsidRDefault="007017BE">
      <w:r>
        <w:continuationSeparator/>
      </w:r>
    </w:p>
  </w:endnote>
  <w:endnote w:type="continuationNotice" w:id="1">
    <w:p w14:paraId="3D8B17F2" w14:textId="77777777" w:rsidR="007017BE" w:rsidRDefault="007017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8F81A0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D7A94" w:rsidRPr="00FD7A94">
      <w:rPr>
        <w:rFonts w:cs="Arial"/>
        <w:noProof/>
        <w:sz w:val="16"/>
        <w:szCs w:val="16"/>
      </w:rPr>
      <w:t>Calquence</w:t>
    </w:r>
    <w:r w:rsidR="00FD7A94">
      <w:rPr>
        <w:rFonts w:cs="Arial"/>
        <w:noProof/>
        <w:snapToGrid w:val="0"/>
        <w:color w:val="000000"/>
        <w:sz w:val="16"/>
        <w:szCs w:val="16"/>
      </w:rPr>
      <w:t xml:space="preserve"> SGM 2397-A</w:t>
    </w:r>
    <w:r w:rsidR="00FD7A94" w:rsidRPr="00FD7A94">
      <w:rPr>
        <w:rFonts w:cs="Arial"/>
        <w:noProof/>
        <w:sz w:val="16"/>
        <w:szCs w:val="16"/>
      </w:rPr>
      <w:t xml:space="preserve"> </w:t>
    </w:r>
    <w:r w:rsidR="003F1771">
      <w:rPr>
        <w:rFonts w:cs="Arial"/>
        <w:noProof/>
        <w:sz w:val="16"/>
        <w:szCs w:val="16"/>
      </w:rPr>
      <w:t>P</w:t>
    </w:r>
    <w:r w:rsidR="00FD7A94" w:rsidRPr="00FD7A94">
      <w:rPr>
        <w:rFonts w:cs="Arial"/>
        <w:noProof/>
        <w:sz w:val="16"/>
        <w:szCs w:val="16"/>
      </w:rPr>
      <w:t>2024</w:t>
    </w:r>
    <w:r w:rsidR="0077048E">
      <w:rPr>
        <w:rFonts w:cs="Arial"/>
        <w:noProof/>
        <w:sz w:val="16"/>
        <w:szCs w:val="16"/>
      </w:rPr>
      <w:t>a</w:t>
    </w:r>
    <w:r w:rsidR="00FD7A94">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77048E">
      <w:rPr>
        <w:rFonts w:cs="Arial"/>
        <w:snapToGrid w:val="0"/>
        <w:color w:val="000000"/>
        <w:sz w:val="16"/>
      </w:rPr>
      <w:t>5</w:t>
    </w:r>
    <w:r w:rsidRPr="00EC47B6">
      <w:rPr>
        <w:rFonts w:cs="Arial"/>
        <w:snapToGrid w:val="0"/>
        <w:color w:val="000000"/>
        <w:sz w:val="16"/>
      </w:rPr>
      <w:t xml:space="preserve"> CVS Caremark. All rights reserved.</w:t>
    </w:r>
  </w:p>
  <w:p w14:paraId="61CF5924" w14:textId="627B17DF"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7869E7D" w:rsidR="00F75C81" w:rsidRPr="00FD7A94" w:rsidRDefault="00C36B72" w:rsidP="00FD7A9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2AD083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D7A94" w:rsidRPr="00FD7A94">
      <w:rPr>
        <w:rFonts w:cs="Arial"/>
        <w:noProof/>
        <w:sz w:val="16"/>
        <w:szCs w:val="16"/>
      </w:rPr>
      <w:t>Calquence</w:t>
    </w:r>
    <w:r w:rsidR="00FD7A94">
      <w:rPr>
        <w:rFonts w:cs="Arial"/>
        <w:noProof/>
        <w:snapToGrid w:val="0"/>
        <w:color w:val="000000"/>
        <w:sz w:val="16"/>
        <w:szCs w:val="16"/>
      </w:rPr>
      <w:t xml:space="preserve"> SGM 2397-A</w:t>
    </w:r>
    <w:r w:rsidR="00FD7A94" w:rsidRPr="00FD7A94">
      <w:rPr>
        <w:rFonts w:cs="Arial"/>
        <w:noProof/>
        <w:sz w:val="16"/>
        <w:szCs w:val="16"/>
      </w:rPr>
      <w:t xml:space="preserve"> </w:t>
    </w:r>
    <w:r w:rsidR="003F1771">
      <w:rPr>
        <w:rFonts w:cs="Arial"/>
        <w:noProof/>
        <w:sz w:val="16"/>
        <w:szCs w:val="16"/>
      </w:rPr>
      <w:t>P</w:t>
    </w:r>
    <w:r w:rsidR="00FD7A94" w:rsidRPr="00FD7A94">
      <w:rPr>
        <w:rFonts w:cs="Arial"/>
        <w:noProof/>
        <w:sz w:val="16"/>
        <w:szCs w:val="16"/>
      </w:rPr>
      <w:t>2024</w:t>
    </w:r>
    <w:r w:rsidR="0077048E">
      <w:rPr>
        <w:rFonts w:cs="Arial"/>
        <w:noProof/>
        <w:sz w:val="16"/>
        <w:szCs w:val="16"/>
      </w:rPr>
      <w:t>a</w:t>
    </w:r>
    <w:r w:rsidR="00FD7A94">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77048E">
      <w:rPr>
        <w:rFonts w:cs="Arial"/>
        <w:snapToGrid w:val="0"/>
        <w:color w:val="000000"/>
        <w:sz w:val="16"/>
      </w:rPr>
      <w:t>5</w:t>
    </w:r>
    <w:r w:rsidRPr="00EC47B6">
      <w:rPr>
        <w:rFonts w:cs="Arial"/>
        <w:snapToGrid w:val="0"/>
        <w:color w:val="000000"/>
        <w:sz w:val="16"/>
      </w:rPr>
      <w:t xml:space="preserve"> CVS Caremark. All rights reserved.</w:t>
    </w:r>
  </w:p>
  <w:p w14:paraId="39BFE579" w14:textId="03B72E21"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34E08E0" w:rsidR="00ED04EC" w:rsidRPr="00FD7A94" w:rsidRDefault="00F50D98" w:rsidP="00FD7A9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9DA0" w14:textId="68DB8FEF" w:rsidR="002A76A8" w:rsidRPr="002A76A8" w:rsidRDefault="002A76A8" w:rsidP="002A76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04EEB" w14:textId="77777777" w:rsidR="007017BE" w:rsidRDefault="007017BE">
      <w:r>
        <w:separator/>
      </w:r>
    </w:p>
  </w:footnote>
  <w:footnote w:type="continuationSeparator" w:id="0">
    <w:p w14:paraId="1C027354" w14:textId="77777777" w:rsidR="007017BE" w:rsidRDefault="007017BE">
      <w:r>
        <w:continuationSeparator/>
      </w:r>
    </w:p>
  </w:footnote>
  <w:footnote w:type="continuationNotice" w:id="1">
    <w:p w14:paraId="52783EFD" w14:textId="77777777" w:rsidR="007017BE" w:rsidRDefault="007017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2A76A8" w:rsidRPr="00BD1CC1" w14:paraId="7F2F4A0A" w14:textId="77777777" w:rsidTr="002A76A8">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auto"/>
          <w:hideMark/>
        </w:tcPr>
        <w:p w14:paraId="758B61AE" w14:textId="77777777" w:rsidR="002A76A8" w:rsidRPr="00EC47B6" w:rsidRDefault="002A76A8" w:rsidP="002A76A8">
          <w:pPr>
            <w:pStyle w:val="RefTableData"/>
          </w:pPr>
          <w:r w:rsidRPr="00F246C7">
            <w:t>Reference number(s</w:t>
          </w:r>
          <w:r w:rsidRPr="00EC47B6">
            <w:t>)</w:t>
          </w:r>
        </w:p>
      </w:tc>
    </w:tr>
    <w:tr w:rsidR="002A76A8" w:rsidRPr="00BD1CC1" w14:paraId="14138937" w14:textId="77777777" w:rsidTr="00612C1F">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4386F52" w14:textId="77777777" w:rsidR="002A76A8" w:rsidRPr="00FF66BF" w:rsidRDefault="002A76A8" w:rsidP="002A76A8">
          <w:pPr>
            <w:pStyle w:val="RefTableData"/>
          </w:pPr>
          <w:r>
            <w:t>2397-A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2A76A8" w:rsidRPr="00BD1CC1" w14:paraId="4AA18ECE" w14:textId="77777777" w:rsidTr="00612C1F">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auto"/>
          <w:hideMark/>
        </w:tcPr>
        <w:p w14:paraId="3B5BC501" w14:textId="77777777" w:rsidR="002A76A8" w:rsidRPr="00EC47B6" w:rsidRDefault="002A76A8" w:rsidP="002A76A8">
          <w:pPr>
            <w:pStyle w:val="RefTableData"/>
          </w:pPr>
          <w:r w:rsidRPr="00F246C7">
            <w:t>Reference number(s</w:t>
          </w:r>
          <w:r w:rsidRPr="00EC47B6">
            <w:t>)</w:t>
          </w:r>
        </w:p>
      </w:tc>
    </w:tr>
    <w:tr w:rsidR="002A76A8" w:rsidRPr="00BD1CC1" w14:paraId="47E1B633" w14:textId="77777777" w:rsidTr="00612C1F">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32F04DB4" w14:textId="77777777" w:rsidR="002A76A8" w:rsidRPr="00FF66BF" w:rsidRDefault="002A76A8" w:rsidP="002A76A8">
          <w:pPr>
            <w:pStyle w:val="RefTableData"/>
          </w:pPr>
          <w:r>
            <w:t>2397-A</w:t>
          </w:r>
        </w:p>
      </w:tc>
    </w:tr>
  </w:tbl>
  <w:p w14:paraId="336829C0" w14:textId="77777777" w:rsidR="002A76A8" w:rsidRPr="002A76A8" w:rsidRDefault="002A76A8">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A608EA"/>
    <w:multiLevelType w:val="hybridMultilevel"/>
    <w:tmpl w:val="54AA61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24645"/>
    <w:multiLevelType w:val="hybridMultilevel"/>
    <w:tmpl w:val="22E2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284669"/>
    <w:multiLevelType w:val="hybridMultilevel"/>
    <w:tmpl w:val="36023DCA"/>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D95826"/>
    <w:multiLevelType w:val="hybridMultilevel"/>
    <w:tmpl w:val="DED4E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A004DB"/>
    <w:multiLevelType w:val="hybridMultilevel"/>
    <w:tmpl w:val="BF6C0F6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DB5843"/>
    <w:multiLevelType w:val="hybridMultilevel"/>
    <w:tmpl w:val="773C98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CA6354"/>
    <w:multiLevelType w:val="hybridMultilevel"/>
    <w:tmpl w:val="361E9FB6"/>
    <w:lvl w:ilvl="0" w:tplc="9582321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0B4F4B"/>
    <w:multiLevelType w:val="hybridMultilevel"/>
    <w:tmpl w:val="7CEA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5"/>
  </w:num>
  <w:num w:numId="2" w16cid:durableId="606935877">
    <w:abstractNumId w:val="31"/>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6"/>
  </w:num>
  <w:num w:numId="15" w16cid:durableId="616722934">
    <w:abstractNumId w:val="12"/>
  </w:num>
  <w:num w:numId="16" w16cid:durableId="898320195">
    <w:abstractNumId w:val="20"/>
  </w:num>
  <w:num w:numId="17" w16cid:durableId="2128498676">
    <w:abstractNumId w:val="34"/>
  </w:num>
  <w:num w:numId="18" w16cid:durableId="299724409">
    <w:abstractNumId w:val="27"/>
  </w:num>
  <w:num w:numId="19" w16cid:durableId="214585573">
    <w:abstractNumId w:val="17"/>
  </w:num>
  <w:num w:numId="20" w16cid:durableId="1289816170">
    <w:abstractNumId w:val="18"/>
  </w:num>
  <w:num w:numId="21" w16cid:durableId="1066490929">
    <w:abstractNumId w:val="35"/>
  </w:num>
  <w:num w:numId="22" w16cid:durableId="1472481103">
    <w:abstractNumId w:val="29"/>
  </w:num>
  <w:num w:numId="23" w16cid:durableId="1997420403">
    <w:abstractNumId w:val="33"/>
  </w:num>
  <w:num w:numId="24" w16cid:durableId="33312838">
    <w:abstractNumId w:val="28"/>
  </w:num>
  <w:num w:numId="25" w16cid:durableId="507404939">
    <w:abstractNumId w:val="19"/>
  </w:num>
  <w:num w:numId="26" w16cid:durableId="1950313333">
    <w:abstractNumId w:val="22"/>
  </w:num>
  <w:num w:numId="27" w16cid:durableId="1866016584">
    <w:abstractNumId w:val="21"/>
  </w:num>
  <w:num w:numId="28" w16cid:durableId="981691309">
    <w:abstractNumId w:val="24"/>
  </w:num>
  <w:num w:numId="29" w16cid:durableId="156502592">
    <w:abstractNumId w:val="14"/>
  </w:num>
  <w:num w:numId="30" w16cid:durableId="1309286274">
    <w:abstractNumId w:val="10"/>
  </w:num>
  <w:num w:numId="31" w16cid:durableId="1833329429">
    <w:abstractNumId w:val="32"/>
  </w:num>
  <w:num w:numId="32" w16cid:durableId="273948534">
    <w:abstractNumId w:val="30"/>
  </w:num>
  <w:num w:numId="33" w16cid:durableId="1969585802">
    <w:abstractNumId w:val="26"/>
  </w:num>
  <w:num w:numId="34" w16cid:durableId="322900629">
    <w:abstractNumId w:val="13"/>
  </w:num>
  <w:num w:numId="35" w16cid:durableId="1452673285">
    <w:abstractNumId w:val="11"/>
  </w:num>
  <w:num w:numId="36" w16cid:durableId="1668092547">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15D"/>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6DC9"/>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1F93"/>
    <w:rsid w:val="001B459A"/>
    <w:rsid w:val="001B4C8F"/>
    <w:rsid w:val="001B5232"/>
    <w:rsid w:val="001B6FFC"/>
    <w:rsid w:val="001B70DA"/>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6545"/>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A76A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072"/>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1771"/>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777CD"/>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1C62"/>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534"/>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020"/>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C39"/>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6B1"/>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41F9"/>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85D"/>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7BE"/>
    <w:rsid w:val="00701964"/>
    <w:rsid w:val="00701BB0"/>
    <w:rsid w:val="00702357"/>
    <w:rsid w:val="00702DB8"/>
    <w:rsid w:val="0070339C"/>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004"/>
    <w:rsid w:val="00735381"/>
    <w:rsid w:val="007363FE"/>
    <w:rsid w:val="00736D6F"/>
    <w:rsid w:val="007376D7"/>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8E"/>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10C"/>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41AE"/>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3E1"/>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2D0"/>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2AF2"/>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3C5D"/>
    <w:rsid w:val="00F749A8"/>
    <w:rsid w:val="00F74F32"/>
    <w:rsid w:val="00F75825"/>
    <w:rsid w:val="00F75C81"/>
    <w:rsid w:val="00F75C9A"/>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94"/>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4A1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openxmlformats.org/package/2006/metadata/core-properties"/>
    <ds:schemaRef ds:uri="http://purl.org/dc/terms/"/>
    <ds:schemaRef ds:uri="http://schemas.microsoft.com/office/infopath/2007/PartnerControls"/>
    <ds:schemaRef ds:uri="http://purl.org/dc/dcmitype/"/>
    <ds:schemaRef ds:uri="http://schemas.microsoft.com/office/2006/documentManagement/types"/>
    <ds:schemaRef ds:uri="http://purl.org/dc/elements/1.1/"/>
    <ds:schemaRef ds:uri="http://schemas.microsoft.com/office/2006/metadata/properties"/>
    <ds:schemaRef ds:uri="ce173f13-e3a2-4c5f-8c54-d0382ae88016"/>
    <ds:schemaRef ds:uri="102fadf2-6cae-45bc-95f6-bc2613b98572"/>
    <ds:schemaRef ds:uri="http://www.w3.org/XML/1998/namespace"/>
  </ds:schemaRefs>
</ds:datastoreItem>
</file>

<file path=customXml/itemProps4.xml><?xml version="1.0" encoding="utf-8"?>
<ds:datastoreItem xmlns:ds="http://schemas.openxmlformats.org/officeDocument/2006/customXml" ds:itemID="{6EE12490-DF1E-4C22-B048-63D9FFE91EA7}"/>
</file>

<file path=docProps/app.xml><?xml version="1.0" encoding="utf-8"?>
<Properties xmlns="http://schemas.openxmlformats.org/officeDocument/2006/extended-properties" xmlns:vt="http://schemas.openxmlformats.org/officeDocument/2006/docPropsVTypes">
  <Template>Normal.dotm</Template>
  <TotalTime>3</TotalTime>
  <Pages>3</Pages>
  <Words>527</Words>
  <Characters>3465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Calquence 2397-A SGM 2024</vt:lpstr>
    </vt:vector>
  </TitlesOfParts>
  <Company>PCS Health Systems</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Calquence SGM 2397-A P2024a_R</dc:title>
  <dc:subject/>
  <dc:creator>CVS Caremark</dc:creator>
  <cp:keywords/>
  <cp:lastModifiedBy>Becnel, Adrienne P</cp:lastModifiedBy>
  <cp:revision>3</cp:revision>
  <cp:lastPrinted>2018-01-09T11:01:00Z</cp:lastPrinted>
  <dcterms:created xsi:type="dcterms:W3CDTF">2025-02-06T14:49:00Z</dcterms:created>
  <dcterms:modified xsi:type="dcterms:W3CDTF">2025-02-06T14:50:00Z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1569100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